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2004 1 vom 17. Februar 2004</w:t>
      </w:r>
    </w:p>
    <w:p>
      <w:r>
        <w:t>GR Gerichte, 2004-02-17, DE</w:t>
      </w:r>
    </w:p>
    <w:p>
      <w:r>
        <w:rPr>
          <w:b/>
        </w:rPr>
        <w:t xml:space="preserve">Quelle: </w:t>
      </w:r>
      <w:r>
        <w:t>https://mcp.opencaselaw.ch/entscheid/gr_gerichte_U 2004 1</w:t>
      </w:r>
    </w:p>
    <w:p>
      <w:r>
        <w:t>FR: GR_GERICHTE U 2004 1 du 17 février 2004</w:t>
      </w:r>
    </w:p>
    <w:p>
      <w:r>
        <w:t>IT: GR_GERICHTE U 2004 1 del 17 febbraio 2004</w:t>
      </w:r>
    </w:p>
    <w:p>
      <w:pPr>
        <w:pStyle w:val="Heading2"/>
      </w:pPr>
      <w:r>
        <w:t>Regeste</w:t>
      </w:r>
    </w:p>
    <w:p>
      <w:r>
        <w:t>Aufenthaltsbewilligung | Fremdenpolizei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gehen die Verfahrenskosten zulasten des Rekurrenten. Demnach erkennt das Gericht:</w:t>
      </w:r>
    </w:p>
    <w:p>
      <w:r>
        <w:t>1. Der Rekurs wird abgewiesen. 2. Die Gerichtskosten, bestehend - aus einer Staatsgebühr von Fr. 1'000.-- - und den Kanzleiauslagen von Fr. 119.-- zusammen Fr. 1'119.-- gehen zulasten von …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